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widowControl/>
        <w:jc w:val="center"/>
        <w:rPr>
          <w:rFonts w:ascii="黑体" w:hAnsi="黑体" w:eastAsia="黑体"/>
          <w:b/>
          <w:sz w:val="72"/>
          <w:szCs w:val="72"/>
        </w:rPr>
      </w:pPr>
    </w:p>
    <w:p>
      <w:pPr>
        <w:widowControl/>
        <w:jc w:val="center"/>
        <w:rPr>
          <w:rFonts w:hint="default" w:ascii="楷体" w:hAnsi="楷体" w:eastAsia="宋体" w:cs="楷体"/>
          <w:b/>
          <w:sz w:val="44"/>
          <w:szCs w:val="44"/>
          <w:lang w:val="en-US" w:eastAsia="zh-CN"/>
        </w:rPr>
        <w:sectPr>
          <w:type w:val="continuous"/>
          <w:pgSz w:w="11906" w:h="16838"/>
          <w:pgMar w:top="2098" w:right="1474" w:bottom="1985" w:left="1588" w:header="851" w:footer="992" w:gutter="0"/>
          <w:cols w:space="425" w:num="1"/>
          <w:docGrid w:type="lines" w:linePitch="312" w:charSpace="0"/>
        </w:sectPr>
      </w:pPr>
      <w:r>
        <w:rPr>
          <w:rFonts w:hint="eastAsia"/>
          <w:b/>
          <w:sz w:val="44"/>
          <w:szCs w:val="44"/>
        </w:rPr>
        <w:t>香河县</w:t>
      </w:r>
      <w:r>
        <w:rPr>
          <w:rFonts w:hint="eastAsia"/>
          <w:b/>
          <w:sz w:val="44"/>
          <w:szCs w:val="44"/>
          <w:lang w:val="en-US" w:eastAsia="zh-CN"/>
        </w:rPr>
        <w:t>公共资源交易中心</w:t>
      </w: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spacing w:after="0" w:line="560" w:lineRule="exact"/>
        <w:ind w:firstLine="640" w:firstLineChars="200"/>
      </w:pPr>
      <w:r>
        <w:rPr>
          <w:rFonts w:hint="eastAsia" w:ascii="仿宋_GB2312" w:hAnsi="Cambria" w:eastAsia="仿宋_GB2312" w:cs="ArialUnicodeMS"/>
          <w:kern w:val="0"/>
          <w:sz w:val="32"/>
          <w:szCs w:val="32"/>
          <w:lang w:val="en-US" w:eastAsia="zh-CN"/>
        </w:rPr>
        <w:t>贯彻实施公共资源交易相关法律、法规、政策，为交易活动提供场所、设施和服务；制定交易现场和内部工作制度并组织实施；收集存储和发布各类交易信息，为市场主体提供相关政策法规咨询服务；查验进场交易项目手续，负责项目交易现场记录；见证公共资源交易项目交易全过程，维护交易活动秩序。</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val="en-US" w:eastAsia="zh-CN"/>
              </w:rPr>
              <w:t>香河县公共资源交易中心</w:t>
            </w:r>
            <w:r>
              <w:rPr>
                <w:rFonts w:hint="eastAsia" w:ascii="仿宋_GB2312" w:hAnsi="Calibri" w:eastAsia="仿宋_GB2312" w:cs="ArialUnicodeMS"/>
                <w:kern w:val="0"/>
                <w:sz w:val="28"/>
                <w:szCs w:val="28"/>
              </w:rPr>
              <w:t>(本级)</w:t>
            </w:r>
          </w:p>
        </w:tc>
        <w:tc>
          <w:tcPr>
            <w:tcW w:w="2445" w:type="dxa"/>
            <w:vAlign w:val="top"/>
          </w:tcPr>
          <w:p>
            <w:pPr>
              <w:spacing w:after="0"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val="en-US" w:eastAsia="zh-CN"/>
              </w:rPr>
              <w:t>事业单位</w:t>
            </w:r>
          </w:p>
        </w:tc>
        <w:tc>
          <w:tcPr>
            <w:tcW w:w="2665" w:type="dxa"/>
            <w:vAlign w:val="top"/>
          </w:tcPr>
          <w:p>
            <w:pPr>
              <w:spacing w:after="0"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numPr>
          <w:ilvl w:val="0"/>
          <w:numId w:val="2"/>
        </w:numPr>
        <w:snapToGrid w:val="0"/>
        <w:spacing w:line="58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keepLines/>
        <w:numPr>
          <w:ilvl w:val="0"/>
          <w:numId w:val="0"/>
        </w:numPr>
        <w:snapToGrid w:val="0"/>
        <w:spacing w:line="580" w:lineRule="exact"/>
        <w:ind w:firstLine="960" w:firstLineChars="300"/>
        <w:outlineLvl w:val="1"/>
        <w:rPr>
          <w:rFonts w:ascii="黑体" w:hAnsi="Calibri" w:eastAsia="黑体" w:cs="Times New Roman"/>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143.48</w:t>
      </w:r>
      <w:r>
        <w:rPr>
          <w:rFonts w:hint="eastAsia" w:ascii="仿宋_GB2312" w:hAnsi="Times New Roman" w:eastAsia="仿宋_GB2312" w:cs="DengXian-Regular"/>
          <w:sz w:val="32"/>
          <w:szCs w:val="32"/>
        </w:rPr>
        <w:t>万元。与2018年度决算相比，收</w:t>
      </w:r>
      <w:r>
        <w:rPr>
          <w:rFonts w:hint="eastAsia" w:ascii="仿宋_GB2312" w:hAnsi="Times New Roman" w:eastAsia="仿宋_GB2312" w:cs="DengXian-Regular"/>
          <w:sz w:val="32"/>
          <w:szCs w:val="32"/>
          <w:lang w:eastAsia="zh-CN"/>
        </w:rPr>
        <w:t>入减少</w:t>
      </w:r>
      <w:r>
        <w:rPr>
          <w:rFonts w:hint="eastAsia" w:ascii="仿宋_GB2312" w:hAnsi="Times New Roman" w:eastAsia="仿宋_GB2312" w:cs="DengXian-Regular"/>
          <w:sz w:val="32"/>
          <w:szCs w:val="32"/>
          <w:lang w:val="en-US" w:eastAsia="zh-CN"/>
        </w:rPr>
        <w:t>1067.70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1716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支出减少</w:t>
      </w:r>
      <w:r>
        <w:rPr>
          <w:rFonts w:hint="eastAsia" w:ascii="仿宋_GB2312" w:hAnsi="Times New Roman" w:eastAsia="仿宋_GB2312" w:cs="DengXian-Regular"/>
          <w:sz w:val="32"/>
          <w:szCs w:val="32"/>
          <w:lang w:val="en-US" w:eastAsia="zh-CN"/>
        </w:rPr>
        <w:t>1039.15万元，减少1448%，</w:t>
      </w:r>
      <w:r>
        <w:rPr>
          <w:rFonts w:hint="eastAsia" w:ascii="仿宋_GB2312" w:hAnsi="Times New Roman" w:eastAsia="仿宋_GB2312" w:cs="DengXian-Regular"/>
          <w:sz w:val="32"/>
          <w:szCs w:val="32"/>
        </w:rPr>
        <w:t>主要原因</w:t>
      </w:r>
      <w:r>
        <w:rPr>
          <w:rFonts w:hint="eastAsia" w:ascii="仿宋_GB2312" w:hAnsi="Times New Roman" w:eastAsia="仿宋_GB2312" w:cs="DengXian-Regular"/>
          <w:sz w:val="32"/>
          <w:szCs w:val="32"/>
          <w:lang w:eastAsia="zh-CN"/>
        </w:rPr>
        <w:t>是由于机构改革，我单位已经并入香河县行政审批局，成为其下设股级事业单位。</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62.21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62.21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keepNext/>
        <w:keepLines/>
        <w:numPr>
          <w:ilvl w:val="0"/>
          <w:numId w:val="0"/>
        </w:numPr>
        <w:snapToGrid w:val="0"/>
        <w:spacing w:line="580" w:lineRule="exact"/>
        <w:ind w:firstLine="960" w:firstLineChars="3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62.21</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1029.51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1655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1039.3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62.21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37.25</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104.78</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由于机构改革，我单位已经并入香河县行政审批局，成为其下设股级事业单位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42.87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95.4</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66.66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93.11</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3.21</w:t>
      </w:r>
      <w:r>
        <w:rPr>
          <w:rFonts w:hint="eastAsia" w:ascii="仿宋_GB2312" w:hAnsi="Times New Roman" w:eastAsia="仿宋_GB2312" w:cs="DengXian-Regular"/>
          <w:sz w:val="32"/>
          <w:szCs w:val="32"/>
        </w:rPr>
        <w:t>%；卫生健康（类）支出</w:t>
      </w:r>
      <w:r>
        <w:rPr>
          <w:rFonts w:hint="eastAsia" w:ascii="仿宋_GB2312" w:hAnsi="Times New Roman" w:eastAsia="仿宋_GB2312" w:cs="DengXian-Regular"/>
          <w:sz w:val="32"/>
          <w:szCs w:val="32"/>
          <w:lang w:val="en-US" w:eastAsia="zh-CN"/>
        </w:rPr>
        <w:t>0.99</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1.38</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1.63</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71.59</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32.55</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39.04</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1.89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99.47</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0.91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48.14</w:t>
      </w:r>
      <w:r>
        <w:rPr>
          <w:rFonts w:hint="eastAsia" w:ascii="仿宋_GB2312" w:hAnsi="Times New Roman" w:eastAsia="仿宋_GB2312" w:cs="DengXian-Regular"/>
          <w:sz w:val="32"/>
          <w:szCs w:val="32"/>
        </w:rPr>
        <w:t>%，主要是</w:t>
      </w:r>
      <w:r>
        <w:rPr>
          <w:rFonts w:hint="eastAsia" w:ascii="仿宋" w:hAnsi="仿宋" w:eastAsia="仿宋"/>
          <w:sz w:val="32"/>
          <w:szCs w:val="32"/>
          <w:lang w:val="en-US" w:eastAsia="zh-CN"/>
        </w:rPr>
        <w:t>出车次数增多</w:t>
      </w:r>
      <w:r>
        <w:rPr>
          <w:rFonts w:hint="eastAsia" w:ascii="仿宋_GB2312" w:hAnsi="Times New Roman" w:eastAsia="仿宋_GB2312" w:cs="DengXian-Regular"/>
          <w:sz w:val="32"/>
          <w:szCs w:val="32"/>
        </w:rPr>
        <w:t>。具体情况如下：</w:t>
      </w:r>
    </w:p>
    <w:p>
      <w:pPr>
        <w:numPr>
          <w:ilvl w:val="0"/>
          <w:numId w:val="4"/>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 w:hAnsi="仿宋" w:eastAsia="仿宋" w:cs="仿宋"/>
          <w:sz w:val="32"/>
          <w:szCs w:val="32"/>
        </w:rPr>
        <w:t>因公出国（境）费支出较年初预算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ascii="仿宋" w:hAnsi="仿宋" w:eastAsia="仿宋" w:cs="仿宋"/>
          <w:color w:val="000000"/>
          <w:sz w:val="32"/>
          <w:szCs w:val="32"/>
          <w:lang w:eastAsia="zh-CN"/>
        </w:rPr>
        <w:t>。</w:t>
      </w:r>
    </w:p>
    <w:p>
      <w:pPr>
        <w:numPr>
          <w:ilvl w:val="0"/>
          <w:numId w:val="0"/>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t>（二）</w:t>
      </w: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1.89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本部门2019年度公务用车购置量零辆，发生“公务用车购置”经费支出零万元。</w:t>
      </w:r>
      <w:r>
        <w:rPr>
          <w:rFonts w:hint="eastAsia" w:eastAsia="仿宋_GB2312"/>
          <w:sz w:val="32"/>
          <w:szCs w:val="32"/>
        </w:rPr>
        <w:t>用车购置费支出与年初预算增持平，主要是较年初预算无增减变化；与</w:t>
      </w:r>
      <w:r>
        <w:rPr>
          <w:rFonts w:eastAsia="仿宋_GB2312"/>
          <w:sz w:val="32"/>
          <w:szCs w:val="32"/>
        </w:rPr>
        <w:t>201</w:t>
      </w:r>
      <w:r>
        <w:rPr>
          <w:rFonts w:hint="eastAsia" w:eastAsia="仿宋_GB2312"/>
          <w:sz w:val="32"/>
          <w:szCs w:val="32"/>
        </w:rPr>
        <w:t>8年度决算持平，主要是较2018年度决算无增减变化。</w:t>
      </w:r>
    </w:p>
    <w:p>
      <w:pPr>
        <w:adjustRightInd w:val="0"/>
        <w:snapToGrid w:val="0"/>
        <w:spacing w:line="580" w:lineRule="exact"/>
        <w:ind w:firstLine="643" w:firstLineChars="200"/>
        <w:rPr>
          <w:rFonts w:hint="eastAsia" w:ascii="仿宋_GB2312" w:hAnsi="Times New Roman" w:eastAsia="仿宋_GB2312" w:cs="DengXian-Regular"/>
          <w:b/>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部门2019年度公务用车购置及运行维护费较预算减少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由于机构改革，我单位已经并入香河县行政审批局，成为其下设股级事业单位。</w:t>
      </w:r>
    </w:p>
    <w:p>
      <w:pPr>
        <w:adjustRightInd w:val="0"/>
        <w:snapToGrid w:val="0"/>
        <w:spacing w:line="584"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本部门2019年度公务接待共零批次、零人次。</w:t>
      </w:r>
      <w:r>
        <w:rPr>
          <w:rFonts w:hint="eastAsia" w:eastAsia="仿宋_GB2312"/>
          <w:sz w:val="32"/>
          <w:szCs w:val="32"/>
        </w:rPr>
        <w:t>公务接待费支出与年初预算持平，主要是较年初预算无增减变化；与</w:t>
      </w:r>
      <w:r>
        <w:rPr>
          <w:rFonts w:eastAsia="仿宋_GB2312"/>
          <w:sz w:val="32"/>
          <w:szCs w:val="32"/>
        </w:rPr>
        <w:t>201</w:t>
      </w:r>
      <w:r>
        <w:rPr>
          <w:rFonts w:hint="eastAsia" w:eastAsia="仿宋_GB2312"/>
          <w:sz w:val="32"/>
          <w:szCs w:val="32"/>
        </w:rPr>
        <w:t>8年度决算持平，主要是较2018年度决算无增减变化。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本单位为香河县行政审批局下属股级事业单位，不涉及部门预算绩效自评。</w:t>
      </w:r>
    </w:p>
    <w:p>
      <w:pPr>
        <w:numPr>
          <w:ilvl w:val="0"/>
          <w:numId w:val="5"/>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本单位为香河县行政审批局下属股级事业单位，不涉及部门预算绩效自评。</w:t>
      </w:r>
    </w:p>
    <w:p>
      <w:pPr>
        <w:numPr>
          <w:ilvl w:val="0"/>
          <w:numId w:val="6"/>
        </w:numPr>
        <w:adjustRightInd w:val="0"/>
        <w:snapToGrid w:val="0"/>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部门整体绩效自评结果。</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本单位为香河县行政审批局下属股级事业单位，不涉及部门预算绩效自评。</w:t>
      </w:r>
    </w:p>
    <w:p>
      <w:pPr>
        <w:numPr>
          <w:numId w:val="0"/>
        </w:numPr>
        <w:adjustRightInd w:val="0"/>
        <w:snapToGrid w:val="0"/>
        <w:spacing w:line="580" w:lineRule="exact"/>
        <w:rPr>
          <w:rFonts w:hint="eastAsia" w:ascii="仿宋_GB2312" w:hAnsi="仿宋_GB2312" w:eastAsia="仿宋_GB2312" w:cs="仿宋_GB2312"/>
          <w:b/>
          <w:bCs/>
          <w:sz w:val="32"/>
          <w:szCs w:val="32"/>
          <w:lang w:val="en-US" w:eastAsia="zh-CN"/>
        </w:rPr>
      </w:pP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widowControl/>
        <w:spacing w:after="0" w:line="580" w:lineRule="exact"/>
        <w:ind w:firstLine="643" w:firstLineChars="200"/>
        <w:jc w:val="left"/>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widowControl/>
        <w:spacing w:after="0" w:line="580" w:lineRule="exact"/>
        <w:ind w:firstLine="640" w:firstLineChars="200"/>
        <w:jc w:val="left"/>
        <w:rPr>
          <w:rFonts w:ascii="楷体_GB2312" w:hAnsi="Times New Roman" w:eastAsia="楷体_GB2312" w:cs="DengXian-Bold"/>
          <w:b/>
          <w:bCs/>
          <w:sz w:val="32"/>
          <w:szCs w:val="32"/>
        </w:rPr>
      </w:pPr>
      <w:r>
        <w:rPr>
          <w:rFonts w:hint="eastAsia" w:ascii="仿宋_GB2312" w:eastAsia="仿宋_GB2312" w:cs="DengXian-Regular"/>
          <w:sz w:val="32"/>
          <w:szCs w:val="32"/>
          <w:lang w:val="en-US" w:eastAsia="zh-CN"/>
        </w:rPr>
        <w:t>我单位为事业单位，无机关运行经费。</w:t>
      </w:r>
    </w:p>
    <w:p>
      <w:pPr>
        <w:numPr>
          <w:ilvl w:val="0"/>
          <w:numId w:val="4"/>
        </w:numPr>
        <w:snapToGrid w:val="0"/>
        <w:spacing w:line="580" w:lineRule="exact"/>
        <w:ind w:left="0" w:leftChars="0" w:firstLine="643" w:firstLineChars="200"/>
        <w:jc w:val="left"/>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政府采购情况</w:t>
      </w:r>
    </w:p>
    <w:p>
      <w:pPr>
        <w:numPr>
          <w:ilvl w:val="0"/>
          <w:numId w:val="0"/>
        </w:numPr>
        <w:snapToGrid w:val="0"/>
        <w:spacing w:line="580" w:lineRule="exact"/>
        <w:ind w:leftChars="200" w:firstLine="640" w:firstLineChars="200"/>
        <w:jc w:val="left"/>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万元以上通用设备零台（套），比上年增加零套，主要是较2018年度无增减变化，单位价值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万元以上专用设备零台（套）比上年增加零套</w:t>
      </w:r>
      <w:r>
        <w:rPr>
          <w:rFonts w:ascii="仿宋_GB2312" w:eastAsia="仿宋_GB2312" w:cs="DengXian-Regular"/>
          <w:sz w:val="32"/>
          <w:szCs w:val="32"/>
        </w:rPr>
        <w:t>,</w:t>
      </w:r>
      <w:r>
        <w:rPr>
          <w:rFonts w:hint="eastAsia" w:ascii="仿宋_GB2312" w:eastAsia="仿宋_GB2312" w:cs="DengXian-Regular"/>
          <w:sz w:val="32"/>
          <w:szCs w:val="32"/>
        </w:rPr>
        <w:t>主要是较2018年度无增减变化。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eastAsia="仿宋_GB2312" w:cs="DengXian-Regular"/>
          <w:sz w:val="32"/>
          <w:szCs w:val="32"/>
        </w:rPr>
        <w:t>政府性基金和国有资本经营</w:t>
      </w:r>
      <w:r>
        <w:rPr>
          <w:rFonts w:hint="eastAsia" w:ascii="仿宋_GB2312" w:hAnsi="Times New Roman" w:eastAsia="仿宋_GB2312" w:cs="DengXian-Regular"/>
          <w:sz w:val="32"/>
          <w:szCs w:val="32"/>
        </w:rPr>
        <w:t>无收支及结转结余情况，故</w:t>
      </w:r>
      <w:r>
        <w:rPr>
          <w:rFonts w:hint="eastAsia" w:ascii="仿宋_GB2312" w:eastAsia="仿宋_GB2312" w:cs="DengXian-Regular"/>
          <w:sz w:val="32"/>
          <w:szCs w:val="32"/>
        </w:rPr>
        <w:t>政府性基金预算财政拨款收入决算表和国有资本经营预算财政拨款支出决算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MS-UIGothic,Bold"/>
          <w:bCs/>
          <w:sz w:val="32"/>
          <w:szCs w:val="32"/>
        </w:rPr>
      </w:pPr>
      <w:r>
        <w:rPr>
          <w:rFonts w:hint="eastAsia" w:ascii="仿宋_GB2312" w:hAnsi="宋体" w:eastAsia="仿宋_GB2312" w:cs="ArialUnicodeMS"/>
          <w:sz w:val="32"/>
          <w:szCs w:val="32"/>
          <w:highlight w:val="yellow"/>
        </w:rPr>
        <w:t>(各部门应根据本部门实际情况,对公开的本部门决算信息中相关专业性较强的名词进行必要解释和说明，包含但不限于以下名词解释。)</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香河县公共资源交易中心</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62.21</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66.66</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2.30</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0.99</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1.63</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62.21</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71.59</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9.53</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0.15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71.74</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71.74</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Ind w:w="0" w:type="dxa"/>
        <w:tblLayout w:type="fixed"/>
        <w:tblCellMar>
          <w:top w:w="0" w:type="dxa"/>
          <w:left w:w="0" w:type="dxa"/>
          <w:bottom w:w="0" w:type="dxa"/>
          <w:right w:w="0" w:type="dxa"/>
        </w:tblCellMar>
      </w:tblPr>
      <w:tblGrid>
        <w:gridCol w:w="1008"/>
        <w:gridCol w:w="58"/>
        <w:gridCol w:w="58"/>
        <w:gridCol w:w="1709"/>
        <w:gridCol w:w="746"/>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7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283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4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7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83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283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62.21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62.21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一般公共服务支出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政府办公厅（室）及相关机构事务</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2010306</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政务公开审批</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57.28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机关事业单位基本养老保险缴费支出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行政单位医疗</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住房公积金</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71.59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政府办公厅（室）及相关机构事务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政务公开审批</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778"/>
        <w:gridCol w:w="600"/>
        <w:gridCol w:w="680"/>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香河县公共资源交易中心</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7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6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62.21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66.66</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66.66</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2.30</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0.99</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62.21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71.59</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71.59</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9.53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0.15</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0.15</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71.74</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71.74</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71.74</w:t>
            </w:r>
          </w:p>
        </w:tc>
        <w:tc>
          <w:tcPr>
            <w:tcW w:w="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71.59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71.59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2010306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政务公开审批</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32.55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33.77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10.36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8.28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5.28</w:t>
            </w: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5.28</w:t>
            </w: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25.97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32.55</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39.04</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776"/>
        <w:gridCol w:w="147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77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14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77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0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1.90</w:t>
            </w:r>
          </w:p>
        </w:tc>
        <w:tc>
          <w:tcPr>
            <w:tcW w:w="17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77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0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w:t>
            </w:r>
          </w:p>
        </w:tc>
        <w:tc>
          <w:tcPr>
            <w:tcW w:w="177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432"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注：本表反映部门本年度政府性基金预算财政拨款收入、支出及结转和结余情况。本部门本年度无收支及结转结余情况，按要求以空表列示</w:t>
      </w:r>
      <w:r>
        <w:br w:type="page"/>
      </w:r>
    </w:p>
    <w:tbl>
      <w:tblPr>
        <w:tblStyle w:val="6"/>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香河县公共资源交易中心</w:t>
            </w:r>
            <w:bookmarkStart w:id="0" w:name="_GoBack"/>
            <w:bookmarkEnd w:id="0"/>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注：本表反映部门本年度政府性基金预算财政拨款收入、支出及结转和结余情况。本部门本年度无收支及结转结余情况，按要求以空表列示</w:t>
      </w:r>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A0204"/>
    <w:charset w:val="00"/>
    <w:family w:val="roman"/>
    <w:pitch w:val="default"/>
    <w:sig w:usb0="E00002FF" w:usb1="4000045F" w:usb2="00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44.9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585FE"/>
    <w:multiLevelType w:val="singleLevel"/>
    <w:tmpl w:val="9F5585FE"/>
    <w:lvl w:ilvl="0" w:tentative="0">
      <w:start w:val="1"/>
      <w:numFmt w:val="chineseCounting"/>
      <w:suff w:val="nothing"/>
      <w:lvlText w:val="（%1）"/>
      <w:lvlJc w:val="left"/>
      <w:rPr>
        <w:rFonts w:hint="eastAsia"/>
      </w:rPr>
    </w:lvl>
  </w:abstractNum>
  <w:abstractNum w:abstractNumId="1">
    <w:nsid w:val="BEA5A543"/>
    <w:multiLevelType w:val="singleLevel"/>
    <w:tmpl w:val="BEA5A543"/>
    <w:lvl w:ilvl="0" w:tentative="0">
      <w:start w:val="3"/>
      <w:numFmt w:val="decimal"/>
      <w:suff w:val="nothing"/>
      <w:lvlText w:val="%1、"/>
      <w:lvlJc w:val="left"/>
    </w:lvl>
  </w:abstractNum>
  <w:abstractNum w:abstractNumId="2">
    <w:nsid w:val="C35C4A1E"/>
    <w:multiLevelType w:val="singleLevel"/>
    <w:tmpl w:val="C35C4A1E"/>
    <w:lvl w:ilvl="0" w:tentative="0">
      <w:start w:val="1"/>
      <w:numFmt w:val="chineseCounting"/>
      <w:suff w:val="nothing"/>
      <w:lvlText w:val="%1、"/>
      <w:lvlJc w:val="left"/>
      <w:rPr>
        <w:rFonts w:hint="eastAsia"/>
      </w:rPr>
    </w:lvl>
  </w:abstractNum>
  <w:abstractNum w:abstractNumId="3">
    <w:nsid w:val="DBAD34EE"/>
    <w:multiLevelType w:val="singleLevel"/>
    <w:tmpl w:val="DBAD34EE"/>
    <w:lvl w:ilvl="0" w:tentative="0">
      <w:start w:val="2"/>
      <w:numFmt w:val="decimal"/>
      <w:suff w:val="space"/>
      <w:lvlText w:val="%1."/>
      <w:lvlJc w:val="left"/>
    </w:lvl>
  </w:abstractNum>
  <w:abstractNum w:abstractNumId="4">
    <w:nsid w:val="45DB9A87"/>
    <w:multiLevelType w:val="singleLevel"/>
    <w:tmpl w:val="45DB9A87"/>
    <w:lvl w:ilvl="0" w:tentative="0">
      <w:start w:val="3"/>
      <w:numFmt w:val="chineseCounting"/>
      <w:suff w:val="nothing"/>
      <w:lvlText w:val="（%1）"/>
      <w:lvlJc w:val="left"/>
      <w:rPr>
        <w:rFonts w:hint="eastAsia"/>
      </w:rPr>
    </w:lvl>
  </w:abstractNum>
  <w:abstractNum w:abstractNumId="5">
    <w:nsid w:val="59776D6D"/>
    <w:multiLevelType w:val="singleLevel"/>
    <w:tmpl w:val="59776D6D"/>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5758"/>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4A60FB3"/>
    <w:rsid w:val="04F87D00"/>
    <w:rsid w:val="05B00A30"/>
    <w:rsid w:val="05BA5EB7"/>
    <w:rsid w:val="06460CDD"/>
    <w:rsid w:val="065A08F5"/>
    <w:rsid w:val="06836763"/>
    <w:rsid w:val="06FC0999"/>
    <w:rsid w:val="073369FD"/>
    <w:rsid w:val="08C9497C"/>
    <w:rsid w:val="0B011416"/>
    <w:rsid w:val="0B7566BD"/>
    <w:rsid w:val="0D4B003A"/>
    <w:rsid w:val="0DE45D14"/>
    <w:rsid w:val="0E0473C6"/>
    <w:rsid w:val="0F4C6F9F"/>
    <w:rsid w:val="0F827027"/>
    <w:rsid w:val="0FF80282"/>
    <w:rsid w:val="10A02023"/>
    <w:rsid w:val="10B710B7"/>
    <w:rsid w:val="10CC2F14"/>
    <w:rsid w:val="117B2923"/>
    <w:rsid w:val="118323A8"/>
    <w:rsid w:val="1194085D"/>
    <w:rsid w:val="11EF1033"/>
    <w:rsid w:val="123B1067"/>
    <w:rsid w:val="12AE6B6D"/>
    <w:rsid w:val="138135CA"/>
    <w:rsid w:val="1382151E"/>
    <w:rsid w:val="13F065F2"/>
    <w:rsid w:val="14424D2A"/>
    <w:rsid w:val="14504684"/>
    <w:rsid w:val="14B3168F"/>
    <w:rsid w:val="14FD310C"/>
    <w:rsid w:val="16031873"/>
    <w:rsid w:val="168A11D5"/>
    <w:rsid w:val="16B5140E"/>
    <w:rsid w:val="17DE0E9E"/>
    <w:rsid w:val="18412017"/>
    <w:rsid w:val="187072CB"/>
    <w:rsid w:val="18D44CBA"/>
    <w:rsid w:val="18D918AA"/>
    <w:rsid w:val="193C144C"/>
    <w:rsid w:val="197C0CE2"/>
    <w:rsid w:val="19B57119"/>
    <w:rsid w:val="19F218F2"/>
    <w:rsid w:val="1BAA7021"/>
    <w:rsid w:val="1C4C7F9C"/>
    <w:rsid w:val="1D235999"/>
    <w:rsid w:val="1D9A7DD6"/>
    <w:rsid w:val="1DED7741"/>
    <w:rsid w:val="1E070765"/>
    <w:rsid w:val="1E4E7BB1"/>
    <w:rsid w:val="1E760B19"/>
    <w:rsid w:val="23313A34"/>
    <w:rsid w:val="23632044"/>
    <w:rsid w:val="23731467"/>
    <w:rsid w:val="241130B9"/>
    <w:rsid w:val="26B71047"/>
    <w:rsid w:val="28940E8A"/>
    <w:rsid w:val="29391016"/>
    <w:rsid w:val="298B3A68"/>
    <w:rsid w:val="2C475DE6"/>
    <w:rsid w:val="2D3D5419"/>
    <w:rsid w:val="2EE9434E"/>
    <w:rsid w:val="2F144117"/>
    <w:rsid w:val="2F461D0D"/>
    <w:rsid w:val="31C2036A"/>
    <w:rsid w:val="320D02A5"/>
    <w:rsid w:val="321D7A06"/>
    <w:rsid w:val="32407789"/>
    <w:rsid w:val="348E566F"/>
    <w:rsid w:val="36722EDB"/>
    <w:rsid w:val="37814230"/>
    <w:rsid w:val="37B21DA6"/>
    <w:rsid w:val="399A7202"/>
    <w:rsid w:val="3A226944"/>
    <w:rsid w:val="3AEE6A48"/>
    <w:rsid w:val="3B1C7866"/>
    <w:rsid w:val="3BB87509"/>
    <w:rsid w:val="3C1620AA"/>
    <w:rsid w:val="3D8F080F"/>
    <w:rsid w:val="3ECF5F59"/>
    <w:rsid w:val="40164B24"/>
    <w:rsid w:val="40C61C56"/>
    <w:rsid w:val="40D7300A"/>
    <w:rsid w:val="41BD5ED4"/>
    <w:rsid w:val="422F64F3"/>
    <w:rsid w:val="42802677"/>
    <w:rsid w:val="43A93FBE"/>
    <w:rsid w:val="445F68A3"/>
    <w:rsid w:val="44CE1FA4"/>
    <w:rsid w:val="44D26B71"/>
    <w:rsid w:val="45D7709F"/>
    <w:rsid w:val="46274983"/>
    <w:rsid w:val="46826618"/>
    <w:rsid w:val="473706AF"/>
    <w:rsid w:val="474F25BF"/>
    <w:rsid w:val="487F73ED"/>
    <w:rsid w:val="49081363"/>
    <w:rsid w:val="4A347EAE"/>
    <w:rsid w:val="4AC474EB"/>
    <w:rsid w:val="4AFE3CE1"/>
    <w:rsid w:val="4C794B9B"/>
    <w:rsid w:val="4CFC761B"/>
    <w:rsid w:val="4DBE0938"/>
    <w:rsid w:val="4DDF1692"/>
    <w:rsid w:val="4E3F406D"/>
    <w:rsid w:val="4EB00C87"/>
    <w:rsid w:val="4ED72C4E"/>
    <w:rsid w:val="4EFF0D62"/>
    <w:rsid w:val="4F143765"/>
    <w:rsid w:val="4F7729C8"/>
    <w:rsid w:val="4FC15DA2"/>
    <w:rsid w:val="4FFA42F2"/>
    <w:rsid w:val="50151F09"/>
    <w:rsid w:val="512947B0"/>
    <w:rsid w:val="51834FE1"/>
    <w:rsid w:val="52600405"/>
    <w:rsid w:val="529B4319"/>
    <w:rsid w:val="52DD14C3"/>
    <w:rsid w:val="54B23CE1"/>
    <w:rsid w:val="552A34E8"/>
    <w:rsid w:val="57773DD6"/>
    <w:rsid w:val="578B79AB"/>
    <w:rsid w:val="57B65FAE"/>
    <w:rsid w:val="59726CAC"/>
    <w:rsid w:val="59AB4B96"/>
    <w:rsid w:val="5B737E30"/>
    <w:rsid w:val="5B9F49B3"/>
    <w:rsid w:val="5CCD3FD5"/>
    <w:rsid w:val="5D9E582B"/>
    <w:rsid w:val="5DA1284B"/>
    <w:rsid w:val="5E1F0909"/>
    <w:rsid w:val="5EBB3422"/>
    <w:rsid w:val="5F2572D1"/>
    <w:rsid w:val="5FB03B98"/>
    <w:rsid w:val="60AA66D2"/>
    <w:rsid w:val="61745474"/>
    <w:rsid w:val="61F55641"/>
    <w:rsid w:val="61FA5F9D"/>
    <w:rsid w:val="62151A07"/>
    <w:rsid w:val="648121F6"/>
    <w:rsid w:val="64CD6910"/>
    <w:rsid w:val="65816033"/>
    <w:rsid w:val="659D1B65"/>
    <w:rsid w:val="66583059"/>
    <w:rsid w:val="677D08C0"/>
    <w:rsid w:val="6789158D"/>
    <w:rsid w:val="67D81BA4"/>
    <w:rsid w:val="6AAF1C96"/>
    <w:rsid w:val="6B6E4371"/>
    <w:rsid w:val="6BE94F57"/>
    <w:rsid w:val="6C4D021D"/>
    <w:rsid w:val="6D6D1089"/>
    <w:rsid w:val="6DD07A14"/>
    <w:rsid w:val="6DD41F2C"/>
    <w:rsid w:val="6DDE65DD"/>
    <w:rsid w:val="6E987F59"/>
    <w:rsid w:val="6F410A62"/>
    <w:rsid w:val="702C1190"/>
    <w:rsid w:val="72512CD2"/>
    <w:rsid w:val="72A834DC"/>
    <w:rsid w:val="75681757"/>
    <w:rsid w:val="75A346A8"/>
    <w:rsid w:val="76CE5FB7"/>
    <w:rsid w:val="78087143"/>
    <w:rsid w:val="7914340E"/>
    <w:rsid w:val="792B1AB8"/>
    <w:rsid w:val="79B9382C"/>
    <w:rsid w:val="7A440799"/>
    <w:rsid w:val="7A550AE7"/>
    <w:rsid w:val="7B043B76"/>
    <w:rsid w:val="7B877267"/>
    <w:rsid w:val="7BCE131D"/>
    <w:rsid w:val="7C041A6A"/>
    <w:rsid w:val="7DE12B5D"/>
    <w:rsid w:val="7E327570"/>
    <w:rsid w:val="7E6919CB"/>
    <w:rsid w:val="7EC72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5</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2021-05-27T07:21:36Z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